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2024年度法治甘肃省级课题选题指南</w:t>
      </w:r>
    </w:p>
    <w:bookmarkEnd w:id="0"/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一、习近平法治思想研究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1.习近平法治思想引领甘肃法治实践研究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2.习近平法治思想与中华优秀传统文化关系研究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3.司法机关贯彻落实习近平法治思想实践研究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二、政法工作现代化研究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主动创安、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主动创稳为抓手，推进甘肃政法工作现代化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甘肃省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执法司法制约监督与责任体系研究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6.巩固深化政法队伍教育整顿成果制度机制建设研究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三、甘肃高质量发展法治保障问题研究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.《民法典》实施法律问题研究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法治化营商环境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新质生产力法治保障、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新技术新业态重大风险预警防范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涉外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贸易中的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矛盾纠纷化解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中国式现代化甘肃实践法治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乡村振兴的法治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路径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四、黄河流域生态保护研究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.黄河保护法相关问题研究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.黄河流域环境司法协同法治的优化路径研究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五、平安甘肃、法治甘肃建设研究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依托综治中心统筹诉调警调访调对接提升矛盾纠纷化解质效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行政执法与刑事司法衔接、行政复议员管理制度、行政规范性文件合法性及备案审查机制研究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矛盾纠纷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多元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预防化解有关问题研究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.未成年人违法犯罪预防治理研究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推进高水平法治监狱和强制戒毒机构建设的路径、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罪犯教育改造及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预防刑满释放人员重新犯罪问题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、戒毒执法管理与检察监督深度融合问题、中医戒毒标准体系建设问题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.信息网络领域违法犯罪治理对策研究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甘肃省藏区等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民族宗教地区法治建设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与实践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六、“一带一路”建设与涉外法治研究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.“一带一路”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高质量发展的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法治保障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及实践研究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.涉外法治人才培养研究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七、数字法治建设的实践和理论研究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.数字法治建设研究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.执法司法信息数据共享法律问题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及社会基层治理视频监控系统共享运用问题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八、新时代社会主义文化建设法治保障研究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红色法治文化与习近平法治思想的渊源传承、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百年党史中的法治文化传承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革命根据地法制史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24.敦煌法治文化、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简牍法律文献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等中华传统法律文化传承发展研究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新时代弘扬发展“枫桥经验”和“马锡五审判方式”研究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OTdiMGM2YjNjYzYxN2VhNzgzNTIyMTJiOGFlNGYifQ=="/>
  </w:docVars>
  <w:rsids>
    <w:rsidRoot w:val="00000000"/>
    <w:rsid w:val="00921F00"/>
    <w:rsid w:val="02932377"/>
    <w:rsid w:val="04C176DC"/>
    <w:rsid w:val="0638351E"/>
    <w:rsid w:val="0E3A0975"/>
    <w:rsid w:val="0E4F7C80"/>
    <w:rsid w:val="1AA85649"/>
    <w:rsid w:val="1C651593"/>
    <w:rsid w:val="27692E5B"/>
    <w:rsid w:val="2B886BD4"/>
    <w:rsid w:val="2E615B1A"/>
    <w:rsid w:val="31BB1005"/>
    <w:rsid w:val="32925A1F"/>
    <w:rsid w:val="32D80F55"/>
    <w:rsid w:val="37C75C12"/>
    <w:rsid w:val="42FC0372"/>
    <w:rsid w:val="46965745"/>
    <w:rsid w:val="4C0F5757"/>
    <w:rsid w:val="4D0D30C2"/>
    <w:rsid w:val="4F9A0054"/>
    <w:rsid w:val="52FD3949"/>
    <w:rsid w:val="5382202D"/>
    <w:rsid w:val="59890407"/>
    <w:rsid w:val="5B5A2D8E"/>
    <w:rsid w:val="5C7A28D5"/>
    <w:rsid w:val="5D5C2CD4"/>
    <w:rsid w:val="5F43078B"/>
    <w:rsid w:val="61CA737D"/>
    <w:rsid w:val="65ED6B48"/>
    <w:rsid w:val="67E06C40"/>
    <w:rsid w:val="6C0D4AD4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autoRedefine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2024-01-17T10:15:00Z</dcterms:created>
  <dc:creator>Administrator.DESKTOP-Q9JF7CH</dc:creator>
  <cp:lastModifiedBy>glorss</cp:lastModifiedBy>
  <cp:lastPrinted>2024-03-15T04:24:00Z</cp:lastPrinted>
  <dcterms:modified xsi:type="dcterms:W3CDTF">2024-03-15T08:22:03Z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EB311CABFEE04B07BC988B4011761841_13</vt:lpwstr>
  </property>
</Properties>
</file>